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bookmarkStart w:id="1" w:name="_GoBack"/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珠海市文化馆慕课《怎样唱好歌》项目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第二次采购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评分细则</w:t>
      </w:r>
    </w:p>
    <w:tbl>
      <w:tblPr>
        <w:tblStyle w:val="13"/>
        <w:tblW w:w="9080" w:type="dxa"/>
        <w:tblInd w:w="-8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320"/>
        <w:gridCol w:w="60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66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</w:rPr>
            </w:pPr>
            <w:bookmarkStart w:id="0" w:name="_Toc16952931"/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分项内容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分值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</w:rPr>
              <w:t>评分细则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0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</w:rPr>
              <w:t>一、技术部分（满分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lang w:val="en-US" w:eastAsia="zh-CN"/>
              </w:rPr>
              <w:t>55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</w:rPr>
              <w:t>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lang w:eastAsia="zh-CN"/>
              </w:rPr>
              <w:t>实施方案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lang w:val="en-US" w:eastAsia="zh-CN"/>
              </w:rPr>
              <w:t>10分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  <w:t>根据投标人提供的服务方案及运作流程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>（包括但不限于课程建设、服务流程、服务标准、质量保障方案等）</w:t>
            </w: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  <w:t>进行综合评定：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  <w:t>1、方案制定详细、服务项目全面</w:t>
            </w: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  <w:t>具体、且</w:t>
            </w: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lang w:eastAsia="zh-CN"/>
              </w:rPr>
              <w:t>可</w:t>
            </w: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  <w:t>操作性强，服务措施完善严密、运作流程先进实用的，得</w:t>
            </w: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  <w:t>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  <w:t>2、方案制定较详细、服务项目全面、且</w:t>
            </w: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lang w:eastAsia="zh-CN"/>
              </w:rPr>
              <w:t>可</w:t>
            </w: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  <w:t>操作性较强，服务措施较完善严密、运作流程较实用的，</w:t>
            </w: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lang w:val="en-US" w:eastAsia="zh-CN"/>
              </w:rPr>
              <w:t>得8</w:t>
            </w: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  <w:t>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  <w:t>3、方案制定一般，服务项目</w:t>
            </w: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lang w:eastAsia="zh-CN"/>
              </w:rPr>
              <w:t>较</w:t>
            </w: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  <w:t>全面、</w:t>
            </w: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lang w:eastAsia="zh-CN"/>
              </w:rPr>
              <w:t>可</w:t>
            </w: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  <w:t>操作性一般，服务措施一般、运作流程一般的，得</w:t>
            </w: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  <w:t>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  <w:t>4、方案制定一般，服务项目</w:t>
            </w: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lang w:eastAsia="zh-CN"/>
              </w:rPr>
              <w:t>不全</w:t>
            </w: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lang w:eastAsia="zh-CN"/>
              </w:rPr>
              <w:t>有一定的可</w:t>
            </w: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  <w:t>操作性，服务措施</w:t>
            </w: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  <w:t>运作流程</w:t>
            </w: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lang w:eastAsia="zh-CN"/>
              </w:rPr>
              <w:t>具有一定的实用性</w:t>
            </w: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  <w:t>的</w:t>
            </w: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lang w:val="en-US" w:eastAsia="zh-CN"/>
              </w:rPr>
              <w:t>，得2分；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  <w:t>方案制定差、操作性不强，服务措施不完整、不严密、无运作流程的，</w:t>
            </w: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lang w:val="en-US" w:eastAsia="zh-CN"/>
              </w:rPr>
              <w:t>不得分</w:t>
            </w: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2"/>
                <w:szCs w:val="32"/>
              </w:rPr>
              <w:t>注：响应文件中须提供项目实施方案并加盖公章，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2"/>
                <w:szCs w:val="32"/>
                <w:lang w:eastAsia="zh-CN"/>
              </w:rPr>
              <w:t>否则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2"/>
                <w:szCs w:val="32"/>
              </w:rPr>
              <w:t>不得分。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课程制作人员技术水平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89" w:line="360" w:lineRule="exact"/>
              <w:ind w:left="104" w:right="159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89" w:line="360" w:lineRule="exact"/>
              <w:ind w:left="104" w:leftChars="0" w:right="159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注：人员不重复计分。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>（1）项目负责人（仅1人）具有5年或以上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  <w:t>影视制作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>行业工作经验，得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  <w:t>（提供负责人身份证及社保部门出具的截至开标前6个月任意一个月（不含开标当月）投标人为其购买的社保证明复印件加盖投标人公章。）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>（2）项目负责人自2017年1月1日至今从事在线开放课程制作经验，得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>分。（须同时提供合同复印件加盖投标人公章，以合同签订时间为准。如通过合同关键信息无法判断是否得分的，须提供合同甲方出具的证明文件。）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>（3）课程视频拍摄制作团队人员中，具有大专或以上学历（专业类型包括数字媒体技术类、新闻出版类、广播影视类、动漫设计类（含动画、动漫设计与制作）、艺术设计类）不少于10人，满分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>分。每少一人的扣0.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>分；每缺1种专业类型的扣1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val="en-US" w:eastAsia="zh-CN"/>
              </w:rPr>
              <w:t>.4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>分（提供相关人员的学历证书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  <w:t>复印件加盖投标人公章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>，并提供截至开标前6个月任意一个月（不含开标当月）的社保缴纳证明，人员不重复计分）。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>（4）教学设计人员具有教育技术专业硕士毕业证书，每人得1分，最高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>分；（提供学历证书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  <w:t>复印件加盖投标人公章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>，并提供截至开标前6个月任意一个月（不含开标当月）的社保缴纳证明）。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>（5）团队成员具有“教师资格证”，每人得1分，最高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>分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>提供资格证书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  <w:t>复印件加盖投标人公章，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>并提供截至开标前6个月任意一个月（不含开标当月）的社保缴纳证明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专家指导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32" w:line="360" w:lineRule="exact"/>
              <w:ind w:left="107" w:leftChars="0" w:right="275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分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89" w:line="360" w:lineRule="exact"/>
              <w:ind w:left="104" w:leftChars="0" w:right="159" w:rightChars="0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提供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影视制作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类学者、专家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（具有相关专业正高级职称）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协助开展课程建设。一位专家得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分，最多得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89" w:line="360" w:lineRule="exact"/>
              <w:ind w:left="104" w:leftChars="0" w:right="159" w:rightChars="0"/>
              <w:textAlignment w:val="auto"/>
              <w:rPr>
                <w:rFonts w:hint="eastAsia" w:ascii="仿宋" w:hAnsi="仿宋" w:eastAsia="仿宋" w:cs="仿宋"/>
                <w:color w:val="auto"/>
                <w:spacing w:val="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eastAsia="zh-CN"/>
              </w:rPr>
              <w:t>注：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提供相关聘书复印件方可得分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课程制作设备及制作设施保障能力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32" w:line="360" w:lineRule="exact"/>
              <w:ind w:right="275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分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32"/>
                <w:szCs w:val="32"/>
              </w:rPr>
              <w:t>具备课程制作所需的配套设施及拍摄制作设备，具有专业级高清级别数字摄像机、灯光设备、专业录音设备、提词工具等拍摄工具和80平方以上的专业摄影棚、</w:t>
            </w: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32"/>
                <w:szCs w:val="32"/>
                <w:lang w:eastAsia="zh-CN"/>
              </w:rPr>
              <w:t>录音棚</w:t>
            </w: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32"/>
                <w:szCs w:val="32"/>
              </w:rPr>
              <w:t>等拍摄场地等情况进行综合评审：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32"/>
                <w:szCs w:val="32"/>
              </w:rPr>
              <w:t>以上各种设备及场地配备齐全得5分；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32"/>
                <w:szCs w:val="32"/>
              </w:rPr>
              <w:t>以上各种设备及场地配备较齐全得3分；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32"/>
                <w:szCs w:val="32"/>
              </w:rPr>
              <w:t>以上各种设备及场地配备配备差得1分。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89" w:line="360" w:lineRule="exact"/>
              <w:ind w:right="159" w:rightChars="0"/>
              <w:textAlignment w:val="auto"/>
              <w:rPr>
                <w:rFonts w:hint="eastAsia" w:ascii="仿宋" w:hAnsi="仿宋" w:eastAsia="仿宋" w:cs="仿宋"/>
                <w:color w:val="auto"/>
                <w:spacing w:val="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color w:val="auto"/>
                <w:kern w:val="2"/>
                <w:sz w:val="32"/>
                <w:szCs w:val="32"/>
                <w:lang w:eastAsia="zh-CN"/>
              </w:rPr>
              <w:t>注：</w:t>
            </w:r>
            <w:r>
              <w:rPr>
                <w:rFonts w:hint="eastAsia" w:ascii="仿宋" w:hAnsi="仿宋" w:eastAsia="仿宋" w:cs="仿宋"/>
                <w:b/>
                <w:bCs/>
                <w:snapToGrid/>
                <w:color w:val="auto"/>
                <w:kern w:val="2"/>
                <w:sz w:val="32"/>
                <w:szCs w:val="32"/>
              </w:rPr>
              <w:t>提供相关设备名单并提供购置发票或租赁合同等证明材料复印件，不提供不得分。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课程宣传片成片演示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32"/>
                <w:szCs w:val="32"/>
              </w:rPr>
              <w:t>（演示环节不超过5分钟）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/>
                <w:color w:val="auto"/>
                <w:kern w:val="2"/>
                <w:sz w:val="32"/>
                <w:szCs w:val="32"/>
              </w:rPr>
              <w:t>成片样片根据演示的视频画面，呈现效果，后期制作，字幕，PPT版式美化等方面进行综合评审：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/>
                <w:color w:val="auto"/>
                <w:kern w:val="2"/>
                <w:sz w:val="32"/>
                <w:szCs w:val="32"/>
              </w:rPr>
              <w:t>1.成片样片的视频画面呈现效果，后期制作，字幕，PPT版式美化等方面符合需求的，得</w:t>
            </w:r>
            <w:r>
              <w:rPr>
                <w:rFonts w:hint="eastAsia" w:ascii="仿宋" w:hAnsi="仿宋" w:eastAsia="仿宋" w:cs="仿宋"/>
                <w:bCs/>
                <w:snapToGrid/>
                <w:color w:val="auto"/>
                <w:kern w:val="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Cs/>
                <w:snapToGrid/>
                <w:color w:val="auto"/>
                <w:kern w:val="2"/>
                <w:sz w:val="32"/>
                <w:szCs w:val="32"/>
              </w:rPr>
              <w:t>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/>
                <w:color w:val="auto"/>
                <w:kern w:val="2"/>
                <w:sz w:val="32"/>
                <w:szCs w:val="32"/>
              </w:rPr>
              <w:t>2.成片样片的视频画面呈现效果，后期制作，字幕，PPT版式美化等方面基本满足需求的，得</w:t>
            </w:r>
            <w:r>
              <w:rPr>
                <w:rFonts w:hint="eastAsia" w:ascii="仿宋" w:hAnsi="仿宋" w:eastAsia="仿宋" w:cs="仿宋"/>
                <w:bCs/>
                <w:snapToGrid/>
                <w:color w:val="auto"/>
                <w:kern w:val="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snapToGrid/>
                <w:color w:val="auto"/>
                <w:kern w:val="2"/>
                <w:sz w:val="32"/>
                <w:szCs w:val="32"/>
              </w:rPr>
              <w:t>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/>
                <w:color w:val="auto"/>
                <w:kern w:val="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napToGrid/>
                <w:color w:val="auto"/>
                <w:kern w:val="2"/>
                <w:sz w:val="32"/>
                <w:szCs w:val="32"/>
              </w:rPr>
              <w:t>.成片样片的视频画面呈现效果，后期制作，字幕，PPT版式美化等方面较差的，得</w:t>
            </w:r>
            <w:r>
              <w:rPr>
                <w:rFonts w:hint="eastAsia" w:ascii="仿宋" w:hAnsi="仿宋" w:eastAsia="仿宋" w:cs="仿宋"/>
                <w:bCs/>
                <w:snapToGrid/>
                <w:color w:val="auto"/>
                <w:kern w:val="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snapToGrid/>
                <w:color w:val="auto"/>
                <w:kern w:val="2"/>
                <w:sz w:val="32"/>
                <w:szCs w:val="32"/>
              </w:rPr>
              <w:t>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napToGrid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napToGrid/>
                <w:color w:val="auto"/>
                <w:kern w:val="2"/>
                <w:sz w:val="32"/>
                <w:szCs w:val="32"/>
                <w:lang w:eastAsia="zh-CN"/>
              </w:rPr>
              <w:t>注：由投标人自行准备便携演示设备进行演示，</w:t>
            </w:r>
            <w:r>
              <w:rPr>
                <w:rFonts w:hint="eastAsia" w:ascii="仿宋" w:hAnsi="仿宋" w:eastAsia="仿宋" w:cs="仿宋"/>
                <w:b/>
                <w:bCs w:val="0"/>
                <w:snapToGrid/>
                <w:color w:val="auto"/>
                <w:kern w:val="2"/>
                <w:sz w:val="32"/>
                <w:szCs w:val="32"/>
              </w:rPr>
              <w:t>不提供不得分。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课程质量演示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9分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32"/>
                <w:szCs w:val="32"/>
              </w:rPr>
              <w:t>演示环节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不超过10分钟）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>从拍摄背景、内容演示形式、制作技术等角度进行划分，投标人所演示的样片中，所呈现的教学讲解视频类型可包括：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0"/>
              <w:rPr>
                <w:rFonts w:hint="eastAsia" w:ascii="仿宋" w:hAnsi="仿宋" w:eastAsia="仿宋" w:cs="仿宋"/>
                <w:bCs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/>
                <w:color w:val="auto"/>
                <w:kern w:val="2"/>
                <w:sz w:val="32"/>
                <w:szCs w:val="32"/>
              </w:rPr>
              <w:t>1）棚拍置景：在摄影棚内拍摄，搭建室内实景；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0"/>
              <w:rPr>
                <w:rFonts w:hint="eastAsia" w:ascii="仿宋" w:hAnsi="仿宋" w:eastAsia="仿宋" w:cs="仿宋"/>
                <w:bCs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/>
                <w:color w:val="auto"/>
                <w:kern w:val="2"/>
                <w:sz w:val="32"/>
                <w:szCs w:val="32"/>
              </w:rPr>
              <w:t>2）虚拟抠像：有绿或蓝等抠像幕布背景；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0"/>
              <w:rPr>
                <w:rFonts w:hint="eastAsia" w:ascii="仿宋" w:hAnsi="仿宋" w:eastAsia="仿宋" w:cs="仿宋"/>
                <w:bCs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/>
                <w:color w:val="auto"/>
                <w:kern w:val="2"/>
                <w:sz w:val="32"/>
                <w:szCs w:val="32"/>
              </w:rPr>
              <w:t>3）室外实景：外景素材取景或部分外场课程拍摄条件；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0"/>
              <w:rPr>
                <w:rFonts w:hint="eastAsia" w:ascii="仿宋" w:hAnsi="仿宋" w:eastAsia="仿宋" w:cs="仿宋"/>
                <w:bCs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/>
                <w:color w:val="auto"/>
                <w:kern w:val="2"/>
                <w:sz w:val="32"/>
                <w:szCs w:val="32"/>
              </w:rPr>
              <w:t>4）讨论互动：根据访谈人数设定机位数，一般 1-3 机位；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0"/>
              <w:rPr>
                <w:rFonts w:hint="eastAsia" w:ascii="仿宋" w:hAnsi="仿宋" w:eastAsia="仿宋" w:cs="仿宋"/>
                <w:bCs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/>
                <w:color w:val="auto"/>
                <w:kern w:val="2"/>
                <w:sz w:val="32"/>
                <w:szCs w:val="32"/>
              </w:rPr>
              <w:t>5）实践操作：根据课程需求，拍摄实验、操作的教学；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Cs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/>
                <w:color w:val="auto"/>
                <w:kern w:val="2"/>
                <w:sz w:val="32"/>
                <w:szCs w:val="32"/>
              </w:rPr>
              <w:t>6）情景演绎：通过角色扮演，还原案例，提高课程的丰富度，增加代入感；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Cs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/>
                <w:color w:val="auto"/>
                <w:kern w:val="2"/>
                <w:sz w:val="32"/>
                <w:szCs w:val="32"/>
              </w:rPr>
              <w:t>1.以上6项视频类型，每演示一项得1分，共6分。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>2.根据演示样片的拍摄制作形式、制作效果、内容完整度等进行综合评价：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>优：制作形式创意具有独特性和感染力、制作效果画面精美、内容完整度高语言精练，得3分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>良：制作形式创意比较具有独特性和感染力、制作效果画面较精美、内容完整度较高，得2分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>差：制作形式较差、制作效果画面较差、内容完整度低，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val="en-US" w:eastAsia="zh-Hans"/>
              </w:rPr>
              <w:t>得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Hans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napToGrid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napToGrid/>
                <w:color w:val="auto"/>
                <w:kern w:val="2"/>
                <w:sz w:val="32"/>
                <w:szCs w:val="32"/>
                <w:lang w:eastAsia="zh-CN"/>
              </w:rPr>
              <w:t>注：由投标人自行准备便携演示设备进行演示，</w:t>
            </w:r>
            <w:r>
              <w:rPr>
                <w:rFonts w:hint="eastAsia" w:ascii="仿宋" w:hAnsi="仿宋" w:eastAsia="仿宋" w:cs="仿宋"/>
                <w:b/>
                <w:bCs w:val="0"/>
                <w:snapToGrid/>
                <w:color w:val="auto"/>
                <w:kern w:val="2"/>
                <w:sz w:val="32"/>
                <w:szCs w:val="32"/>
              </w:rPr>
              <w:t>不提供不得分。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0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263" w:hanging="402" w:hangingChars="125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</w:rPr>
              <w:t>二、商务部分（满分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</w:rPr>
              <w:t>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>投标人实力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6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>提供投标人2018年以来所制作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  <w:t>视频项目获政府、业内认可的国家级大型奖项，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>每提供1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  <w:t>项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>得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>分，最多得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>分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>2018年以来所制作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  <w:t>视频项目获政府、业内认可的省级奖项，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>每提供1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  <w:t>项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>得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>分，最多得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>分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>2018年以来所制作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  <w:t>视频项目获政府、业内认可的市级奖项，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>每提供1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  <w:t>项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>得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>分，最多得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>分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注：</w:t>
            </w:r>
            <w:r>
              <w:rPr>
                <w:rFonts w:hint="eastAsia" w:ascii="仿宋" w:hAnsi="仿宋" w:eastAsia="仿宋" w:cs="仿宋"/>
                <w:b/>
                <w:bCs/>
                <w:snapToGrid/>
                <w:color w:val="auto"/>
                <w:sz w:val="32"/>
                <w:szCs w:val="32"/>
              </w:rPr>
              <w:t>以合同签订时间为准，需提供该</w:t>
            </w:r>
            <w:r>
              <w:rPr>
                <w:rFonts w:hint="eastAsia" w:ascii="仿宋" w:hAnsi="仿宋" w:eastAsia="仿宋" w:cs="仿宋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视频项目</w:t>
            </w:r>
            <w:r>
              <w:rPr>
                <w:rFonts w:hint="eastAsia" w:ascii="仿宋" w:hAnsi="仿宋" w:eastAsia="仿宋" w:cs="仿宋"/>
                <w:b/>
                <w:bCs/>
                <w:snapToGrid/>
                <w:color w:val="auto"/>
                <w:sz w:val="32"/>
                <w:szCs w:val="32"/>
              </w:rPr>
              <w:t>制作合同复印件、该</w:t>
            </w:r>
            <w:r>
              <w:rPr>
                <w:rFonts w:hint="eastAsia" w:ascii="仿宋" w:hAnsi="仿宋" w:eastAsia="仿宋" w:cs="仿宋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项目获奖证书</w:t>
            </w:r>
            <w:r>
              <w:rPr>
                <w:rFonts w:hint="eastAsia" w:ascii="仿宋" w:hAnsi="仿宋" w:eastAsia="仿宋" w:cs="仿宋"/>
                <w:b/>
                <w:bCs/>
                <w:snapToGrid/>
                <w:color w:val="auto"/>
                <w:sz w:val="32"/>
                <w:szCs w:val="32"/>
              </w:rPr>
              <w:t>并加盖投标人公章。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>售后服务承诺及培训计划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>5分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 xml:space="preserve">根据投标人提供的售后服务方案（包括但不限于售后服务效率、售后服务承诺、服务响应速度、培训方案等）进行综合评审：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 xml:space="preserve">优：售后服务方案详细完整、保障措施充分完善、响应速度快捷、培训方案健全合理、可行性强 ，得5分；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 xml:space="preserve">良：售后服务方案较完整、保障措施较完善、响应速度一般、培训方案可行性一般，得3分；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>差：售后服务方案完整性一般，保障措施不完善、响应速度慢，培训方案可行性较差，得1分；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注：方案</w:t>
            </w:r>
            <w:r>
              <w:rPr>
                <w:rFonts w:hint="eastAsia" w:ascii="仿宋" w:hAnsi="仿宋" w:eastAsia="仿宋" w:cs="仿宋"/>
                <w:b/>
                <w:bCs/>
                <w:snapToGrid/>
                <w:color w:val="auto"/>
                <w:sz w:val="32"/>
                <w:szCs w:val="32"/>
              </w:rPr>
              <w:t>加盖投标人公章</w:t>
            </w:r>
            <w:r>
              <w:rPr>
                <w:rFonts w:hint="eastAsia" w:ascii="仿宋" w:hAnsi="仿宋" w:eastAsia="仿宋" w:cs="仿宋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napToGrid/>
                <w:color w:val="auto"/>
                <w:sz w:val="32"/>
                <w:szCs w:val="32"/>
              </w:rPr>
              <w:t>不提供不得分。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  <w:t>服务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</w:rPr>
              <w:t>人员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  <w:t>力量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val="en-US" w:eastAsia="zh-CN"/>
              </w:rPr>
              <w:t>10分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  <w:t>根据投标单位技术人员的规模（以20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  <w:t>月社保机构出具的社保证明为准）情况进行评分：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  <w:t>购买社保人员数量为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  <w:t>人以上（含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  <w:t>人），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val="en-US" w:eastAsia="zh-CN"/>
              </w:rPr>
              <w:t>得10分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  <w:t>购买社保人员数量为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val="en-US" w:eastAsia="zh-CN"/>
              </w:rPr>
              <w:t>7-9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  <w:t>人，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val="en-US" w:eastAsia="zh-CN"/>
              </w:rPr>
              <w:t>得8分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  <w:t>购买社保人员数量为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val="en-US" w:eastAsia="zh-CN"/>
              </w:rPr>
              <w:t>4-6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  <w:t>人，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val="en-US" w:eastAsia="zh-CN"/>
              </w:rPr>
              <w:t>得6分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  <w:t>购买社保人员数量为1-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  <w:t>人，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val="en-US" w:eastAsia="zh-CN"/>
              </w:rPr>
              <w:t>得4分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注：社保机构出具的社保证明复印件加盖公章，开标现场须提供社保证明原件查验，未提供社保证明文件视为不具有相关人员，则不得分。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  <w:t>相关业绩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  <w:t>分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  <w:t>自2018年1月1日以来（以签订合同为准），具有独立完成为相关单位提供过同类项目服务的业绩与经验，每具有一个业绩得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  <w:t>分，最高得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  <w:t>分，未提供不得分。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注：投标文件中需提供正式合同复印件加盖投标人公章，开标现场提供合同原件供评委查验，未提供原件视为无此业绩。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080" w:type="dxa"/>
            <w:gridSpan w:val="3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lang w:val="en-US" w:eastAsia="zh-CN" w:bidi="ar-SA"/>
              </w:rPr>
              <w:t>三、投标报价（满分10分）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  <w:t>经济标书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  <w:t>评审细则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  <w:t>分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  <w:t>经济价格标得分= (评标基准价/投标报价)×价格指标权重×100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32"/>
                <w:szCs w:val="32"/>
                <w:lang w:eastAsia="zh-CN"/>
              </w:rPr>
              <w:t>评标基准价为满足招标文件要求且投标报价最低的投标报价，其价格分为满分。</w:t>
            </w:r>
            <w:r>
              <w:rPr>
                <w:rFonts w:hint="eastAsia" w:ascii="仿宋" w:hAnsi="仿宋" w:eastAsia="仿宋" w:cs="仿宋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注：价格分计算保留小数点后二位</w:t>
            </w:r>
          </w:p>
        </w:tc>
      </w:tr>
      <w:bookmarkEnd w:id="0"/>
    </w:tbl>
    <w:p>
      <w:pPr>
        <w:widowControl/>
        <w:jc w:val="left"/>
        <w:rPr>
          <w:rFonts w:hint="eastAsia" w:ascii="宋体" w:hAnsi="宋体" w:eastAsia="宋体" w:cs="宋体"/>
          <w:b/>
          <w:bCs/>
          <w:color w:val="auto"/>
          <w:sz w:val="22"/>
          <w:szCs w:val="22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/>
          <w:color w:val="auto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特别说明：</w:t>
      </w:r>
    </w:p>
    <w:p>
      <w:pPr>
        <w:widowControl/>
        <w:ind w:firstLine="519" w:firstLineChars="235"/>
        <w:jc w:val="left"/>
        <w:rPr>
          <w:rFonts w:hint="eastAsia" w:ascii="宋体" w:hAnsi="宋体" w:eastAsia="宋体" w:cs="宋体"/>
          <w:b/>
          <w:bCs/>
          <w:color w:val="auto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1、中小企业产品价格扣除规定：</w:t>
      </w:r>
    </w:p>
    <w:p>
      <w:pPr>
        <w:widowControl/>
        <w:ind w:firstLine="519" w:firstLineChars="235"/>
        <w:jc w:val="left"/>
        <w:rPr>
          <w:rFonts w:hint="eastAsia" w:ascii="宋体" w:hAnsi="宋体" w:eastAsia="宋体" w:cs="宋体"/>
          <w:b/>
          <w:bCs/>
          <w:color w:val="auto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1.1、根据财政部、工业和信息化部印发的《政府采购促进中小企业发展暂行办法》（财库[2011]181号）的规定，对小型企业的报价给予6%的扣除，对微型企业的报价给予10%的扣除，用扣除后的价格参与评审；</w:t>
      </w:r>
    </w:p>
    <w:p>
      <w:pPr>
        <w:widowControl/>
        <w:ind w:firstLine="519" w:firstLineChars="235"/>
        <w:jc w:val="left"/>
        <w:rPr>
          <w:rFonts w:hint="eastAsia" w:ascii="宋体" w:hAnsi="宋体" w:eastAsia="宋体" w:cs="宋体"/>
          <w:b/>
          <w:bCs/>
          <w:color w:val="auto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1.2、《政府采购促进中小企业发展暂行办法》所称中小企业（含中型、小型、微型企业，下同）应当同时符合以下条件：</w:t>
      </w:r>
    </w:p>
    <w:p>
      <w:pPr>
        <w:widowControl/>
        <w:ind w:firstLine="519" w:firstLineChars="235"/>
        <w:jc w:val="left"/>
        <w:rPr>
          <w:rFonts w:hint="eastAsia" w:ascii="宋体" w:hAnsi="宋体" w:eastAsia="宋体" w:cs="宋体"/>
          <w:b/>
          <w:bCs/>
          <w:color w:val="auto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1.2.1、符合中小企业划分标准；</w:t>
      </w:r>
    </w:p>
    <w:p>
      <w:pPr>
        <w:widowControl/>
        <w:ind w:firstLine="519" w:firstLineChars="235"/>
        <w:jc w:val="left"/>
        <w:rPr>
          <w:rFonts w:hint="eastAsia" w:ascii="宋体" w:hAnsi="宋体" w:eastAsia="宋体" w:cs="宋体"/>
          <w:b/>
          <w:bCs/>
          <w:color w:val="auto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1.2.2、提供本企业制造的货物、承担的工程或者服务，或者提供其他中小企业制造的货物。本项目所称货物不包括使用大型企业注册商标的货物。</w:t>
      </w:r>
    </w:p>
    <w:p>
      <w:pPr>
        <w:widowControl/>
        <w:ind w:firstLine="519" w:firstLineChars="235"/>
        <w:jc w:val="left"/>
        <w:rPr>
          <w:rFonts w:hint="eastAsia" w:ascii="宋体" w:hAnsi="宋体" w:eastAsia="宋体" w:cs="宋体"/>
          <w:b/>
          <w:bCs/>
          <w:color w:val="auto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中小企业划分标准以《工业和信息化部、国家统计局、国家发展和改革委员会、财政部关于印发中小企业划型标准规定的通知》（工信部联企业[2011]300号）规定的划分标准为准。</w:t>
      </w:r>
    </w:p>
    <w:p>
      <w:pPr>
        <w:widowControl/>
        <w:ind w:firstLine="519" w:firstLineChars="235"/>
        <w:jc w:val="left"/>
        <w:rPr>
          <w:rFonts w:hint="eastAsia" w:ascii="宋体" w:hAnsi="宋体" w:eastAsia="宋体" w:cs="宋体"/>
          <w:b/>
          <w:bCs/>
          <w:color w:val="auto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小型、微型企业提供中型企业制造的货物的，视同为中型企业。</w:t>
      </w:r>
    </w:p>
    <w:p>
      <w:pPr>
        <w:widowControl/>
        <w:ind w:firstLine="566" w:firstLineChars="235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1.3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、根据《关于政府采购支持监狱企业发展有关问题的通知》（财库[2014]68 号）规定，在政府采购活动中，监狱企业视同小型、微型企业，享受评审中价格扣除等政府采购促进中小企业发展的政府采购政策。【监狱企业参加政府采购活动时，应当在投标文件中提供由省级以上监狱管理局、戒毒管理局（含新疆生产建设兵团）出具的属于监狱企业的证明文件复印件。】</w:t>
      </w:r>
    </w:p>
    <w:p>
      <w:pPr>
        <w:widowControl/>
        <w:ind w:firstLine="566" w:firstLineChars="235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2、投标最终得分 =技术标得分+商务标得分+ 经济价格标得分</w:t>
      </w:r>
    </w:p>
    <w:p>
      <w:pPr>
        <w:widowControl/>
        <w:ind w:firstLine="566" w:firstLineChars="235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3、评标委员会将推荐投标最终得分最高的投标人为本项目的中标人。</w:t>
      </w:r>
    </w:p>
    <w:p>
      <w:pPr>
        <w:spacing w:line="280" w:lineRule="exact"/>
        <w:ind w:firstLine="566" w:firstLineChars="235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4、各种证件及文件材料不得伪造，弄虚作假者，一经查实，取消其投标资格，并按有关规定处理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。</w:t>
      </w:r>
    </w:p>
    <w:p>
      <w:pPr>
        <w:pStyle w:val="8"/>
        <w:ind w:left="0" w:leftChars="0" w:firstLine="0" w:firstLineChars="0"/>
        <w:rPr>
          <w:color w:val="auto"/>
        </w:rPr>
      </w:pPr>
    </w:p>
    <w:bookmarkEnd w:id="1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1669C"/>
    <w:rsid w:val="015C5625"/>
    <w:rsid w:val="01B77525"/>
    <w:rsid w:val="026A4D54"/>
    <w:rsid w:val="06D30249"/>
    <w:rsid w:val="07A771F5"/>
    <w:rsid w:val="08E26C19"/>
    <w:rsid w:val="0971669C"/>
    <w:rsid w:val="0C3F7C66"/>
    <w:rsid w:val="0E4B0FC7"/>
    <w:rsid w:val="104678FB"/>
    <w:rsid w:val="12B10F0A"/>
    <w:rsid w:val="13FC55A0"/>
    <w:rsid w:val="158F3058"/>
    <w:rsid w:val="1B3556D5"/>
    <w:rsid w:val="1BD9260E"/>
    <w:rsid w:val="1CD77CF9"/>
    <w:rsid w:val="1CDA61F1"/>
    <w:rsid w:val="1ED90BDF"/>
    <w:rsid w:val="2157106D"/>
    <w:rsid w:val="257B51B6"/>
    <w:rsid w:val="25A64EFF"/>
    <w:rsid w:val="25E82A3D"/>
    <w:rsid w:val="28294A34"/>
    <w:rsid w:val="2A3F291B"/>
    <w:rsid w:val="2D886C27"/>
    <w:rsid w:val="2D8B1BB7"/>
    <w:rsid w:val="2E497DF1"/>
    <w:rsid w:val="2F8F155A"/>
    <w:rsid w:val="30FC5BE3"/>
    <w:rsid w:val="31431AB9"/>
    <w:rsid w:val="3382210C"/>
    <w:rsid w:val="35BC68A9"/>
    <w:rsid w:val="372A6A35"/>
    <w:rsid w:val="38D176DC"/>
    <w:rsid w:val="3F326A4B"/>
    <w:rsid w:val="3F584337"/>
    <w:rsid w:val="415054EB"/>
    <w:rsid w:val="457B060D"/>
    <w:rsid w:val="4A30495F"/>
    <w:rsid w:val="4C1930A0"/>
    <w:rsid w:val="4D65494D"/>
    <w:rsid w:val="4D996FB7"/>
    <w:rsid w:val="50F43E54"/>
    <w:rsid w:val="52E631CD"/>
    <w:rsid w:val="549E5FB0"/>
    <w:rsid w:val="59125380"/>
    <w:rsid w:val="5B886A51"/>
    <w:rsid w:val="5BE27DC6"/>
    <w:rsid w:val="5DBD61AD"/>
    <w:rsid w:val="5FB1123A"/>
    <w:rsid w:val="60CD6A25"/>
    <w:rsid w:val="64BF4B61"/>
    <w:rsid w:val="6BF94D9A"/>
    <w:rsid w:val="6CB45521"/>
    <w:rsid w:val="6D8A3E6C"/>
    <w:rsid w:val="6E34121C"/>
    <w:rsid w:val="71834DBC"/>
    <w:rsid w:val="764729B3"/>
    <w:rsid w:val="76C44EEF"/>
    <w:rsid w:val="79183C14"/>
    <w:rsid w:val="7D653E3A"/>
    <w:rsid w:val="7FDC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5"/>
    <w:basedOn w:val="1"/>
    <w:next w:val="1"/>
    <w:qFormat/>
    <w:uiPriority w:val="0"/>
    <w:pPr>
      <w:keepNext/>
      <w:keepLines/>
      <w:widowControl/>
      <w:spacing w:line="360" w:lineRule="auto"/>
      <w:jc w:val="center"/>
      <w:outlineLvl w:val="4"/>
    </w:pPr>
    <w:rPr>
      <w:rFonts w:ascii="宋体" w:hAnsi="宋体"/>
      <w:b/>
      <w:sz w:val="44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bCs/>
      <w:spacing w:val="10"/>
      <w:kern w:val="0"/>
      <w:sz w:val="24"/>
      <w:szCs w:val="20"/>
    </w:r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Body Text"/>
    <w:basedOn w:val="1"/>
    <w:qFormat/>
    <w:uiPriority w:val="0"/>
    <w:pPr>
      <w:spacing w:line="360" w:lineRule="auto"/>
    </w:pPr>
    <w:rPr>
      <w:rFonts w:ascii="宋体" w:hAnsi="宋体"/>
      <w:sz w:val="28"/>
    </w:rPr>
  </w:style>
  <w:style w:type="paragraph" w:styleId="7">
    <w:name w:val="Plain Text"/>
    <w:basedOn w:val="1"/>
    <w:qFormat/>
    <w:uiPriority w:val="0"/>
    <w:pPr>
      <w:autoSpaceDE/>
      <w:autoSpaceDN/>
      <w:adjustRightInd/>
      <w:jc w:val="both"/>
    </w:pPr>
    <w:rPr>
      <w:rFonts w:ascii="宋体" w:hAnsi="Courier New" w:cs="Courier New"/>
      <w:kern w:val="2"/>
    </w:rPr>
  </w:style>
  <w:style w:type="paragraph" w:styleId="8">
    <w:name w:val="Body Text Indent 2"/>
    <w:basedOn w:val="1"/>
    <w:qFormat/>
    <w:uiPriority w:val="0"/>
    <w:pPr>
      <w:spacing w:line="360" w:lineRule="auto"/>
      <w:ind w:firstLine="360"/>
    </w:pPr>
    <w:rPr>
      <w:rFonts w:ascii="宋体"/>
      <w:sz w:val="24"/>
    </w:r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6"/>
    <w:qFormat/>
    <w:uiPriority w:val="0"/>
    <w:pPr>
      <w:spacing w:after="120" w:afterLines="0" w:line="240" w:lineRule="auto"/>
      <w:ind w:firstLine="420" w:firstLineChars="100"/>
    </w:pPr>
    <w:rPr>
      <w:rFonts w:ascii="Times New Roman" w:hAnsi="Times New Roman"/>
      <w:sz w:val="21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FollowedHyperlink"/>
    <w:basedOn w:val="14"/>
    <w:qFormat/>
    <w:uiPriority w:val="0"/>
    <w:rPr>
      <w:color w:val="000000"/>
      <w:u w:val="none"/>
    </w:rPr>
  </w:style>
  <w:style w:type="character" w:styleId="17">
    <w:name w:val="Emphasis"/>
    <w:basedOn w:val="14"/>
    <w:qFormat/>
    <w:uiPriority w:val="0"/>
  </w:style>
  <w:style w:type="character" w:styleId="18">
    <w:name w:val="HTML Definition"/>
    <w:basedOn w:val="14"/>
    <w:qFormat/>
    <w:uiPriority w:val="0"/>
  </w:style>
  <w:style w:type="character" w:styleId="19">
    <w:name w:val="HTML Acronym"/>
    <w:basedOn w:val="14"/>
    <w:qFormat/>
    <w:uiPriority w:val="0"/>
  </w:style>
  <w:style w:type="character" w:styleId="20">
    <w:name w:val="HTML Variable"/>
    <w:basedOn w:val="14"/>
    <w:qFormat/>
    <w:uiPriority w:val="0"/>
  </w:style>
  <w:style w:type="character" w:styleId="21">
    <w:name w:val="Hyperlink"/>
    <w:basedOn w:val="14"/>
    <w:qFormat/>
    <w:uiPriority w:val="0"/>
    <w:rPr>
      <w:color w:val="000000"/>
      <w:u w:val="none"/>
    </w:rPr>
  </w:style>
  <w:style w:type="character" w:styleId="22">
    <w:name w:val="HTML Code"/>
    <w:basedOn w:val="14"/>
    <w:qFormat/>
    <w:uiPriority w:val="0"/>
    <w:rPr>
      <w:rFonts w:ascii="Courier New" w:hAnsi="Courier New"/>
      <w:sz w:val="20"/>
    </w:rPr>
  </w:style>
  <w:style w:type="character" w:styleId="23">
    <w:name w:val="HTML Cite"/>
    <w:basedOn w:val="14"/>
    <w:qFormat/>
    <w:uiPriority w:val="0"/>
  </w:style>
  <w:style w:type="character" w:customStyle="1" w:styleId="24">
    <w:name w:val="on"/>
    <w:basedOn w:val="14"/>
    <w:qFormat/>
    <w:uiPriority w:val="0"/>
    <w:rPr>
      <w:shd w:val="clear" w:fill="FFFFFF"/>
    </w:rPr>
  </w:style>
  <w:style w:type="character" w:customStyle="1" w:styleId="25">
    <w:name w:val="bds_more"/>
    <w:basedOn w:val="14"/>
    <w:qFormat/>
    <w:uiPriority w:val="0"/>
  </w:style>
  <w:style w:type="character" w:customStyle="1" w:styleId="26">
    <w:name w:val="bds_more1"/>
    <w:basedOn w:val="14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2"/>
    <w:basedOn w:val="14"/>
    <w:qFormat/>
    <w:uiPriority w:val="0"/>
  </w:style>
  <w:style w:type="character" w:customStyle="1" w:styleId="28">
    <w:name w:val="bds_nopic"/>
    <w:basedOn w:val="14"/>
    <w:qFormat/>
    <w:uiPriority w:val="0"/>
  </w:style>
  <w:style w:type="character" w:customStyle="1" w:styleId="29">
    <w:name w:val="bds_nopic1"/>
    <w:basedOn w:val="14"/>
    <w:qFormat/>
    <w:uiPriority w:val="0"/>
  </w:style>
  <w:style w:type="character" w:customStyle="1" w:styleId="30">
    <w:name w:val="bds_nopic2"/>
    <w:basedOn w:val="14"/>
    <w:qFormat/>
    <w:uiPriority w:val="0"/>
  </w:style>
  <w:style w:type="character" w:customStyle="1" w:styleId="31">
    <w:name w:val="layui-layer-tabnow"/>
    <w:basedOn w:val="14"/>
    <w:qFormat/>
    <w:uiPriority w:val="0"/>
    <w:rPr>
      <w:bdr w:val="single" w:color="CCCCCC" w:sz="6" w:space="0"/>
      <w:shd w:val="clear" w:fill="FFFFFF"/>
    </w:rPr>
  </w:style>
  <w:style w:type="character" w:customStyle="1" w:styleId="32">
    <w:name w:val="first-child"/>
    <w:basedOn w:val="14"/>
    <w:qFormat/>
    <w:uiPriority w:val="0"/>
  </w:style>
  <w:style w:type="character" w:customStyle="1" w:styleId="33">
    <w:name w:val="bsharetext"/>
    <w:basedOn w:val="14"/>
    <w:qFormat/>
    <w:uiPriority w:val="0"/>
  </w:style>
  <w:style w:type="paragraph" w:customStyle="1" w:styleId="34">
    <w:name w:val="标题4"/>
    <w:basedOn w:val="4"/>
    <w:qFormat/>
    <w:uiPriority w:val="0"/>
    <w:pPr>
      <w:widowControl w:val="0"/>
      <w:adjustRightInd w:val="0"/>
      <w:jc w:val="both"/>
      <w:textAlignment w:val="baseline"/>
    </w:pPr>
    <w:rPr>
      <w:rFonts w:hAnsi="Times New Roman"/>
      <w:b w:val="0"/>
      <w:kern w:val="0"/>
      <w:sz w:val="34"/>
      <w:szCs w:val="20"/>
    </w:rPr>
  </w:style>
  <w:style w:type="character" w:customStyle="1" w:styleId="35">
    <w:name w:val="标题 4 Char Char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paragraph" w:styleId="36">
    <w:name w:val="List Paragraph"/>
    <w:basedOn w:val="1"/>
    <w:qFormat/>
    <w:uiPriority w:val="34"/>
    <w:pPr>
      <w:autoSpaceDE/>
      <w:autoSpaceDN/>
      <w:adjustRightInd/>
      <w:ind w:firstLine="420" w:firstLineChars="200"/>
      <w:jc w:val="both"/>
    </w:pPr>
    <w:rPr>
      <w:rFonts w:eastAsia="黑体"/>
      <w:bCs/>
      <w:kern w:val="2"/>
      <w:sz w:val="30"/>
      <w:szCs w:val="30"/>
    </w:rPr>
  </w:style>
  <w:style w:type="paragraph" w:customStyle="1" w:styleId="37">
    <w:name w:val="纯文本1"/>
    <w:basedOn w:val="1"/>
    <w:qFormat/>
    <w:uiPriority w:val="0"/>
    <w:rPr>
      <w:rFonts w:ascii="宋体" w:hAnsi="Courier New" w:eastAsia="微软雅黑" w:cs="Courier New"/>
      <w:sz w:val="22"/>
    </w:rPr>
  </w:style>
  <w:style w:type="table" w:customStyle="1" w:styleId="3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3247</Words>
  <Characters>3347</Characters>
  <Lines>0</Lines>
  <Paragraphs>0</Paragraphs>
  <TotalTime>1</TotalTime>
  <ScaleCrop>false</ScaleCrop>
  <LinksUpToDate>false</LinksUpToDate>
  <CharactersWithSpaces>3357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2020-04-23T09:02:00Z</dcterms:created>
  <dc:creator>橘子</dc:creator>
  <cp:lastModifiedBy>lulu</cp:lastModifiedBy>
  <dcterms:modified xsi:type="dcterms:W3CDTF">2022-04-24T03:24:17Z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8CC3260CAD7645A59638A892C92BD08D</vt:lpwstr>
  </property>
</Properties>
</file>